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Consult informatie</w:t>
      </w:r>
    </w:p>
    <w:p>
      <w:pPr>
        <w:pStyle w:val="Normal"/>
        <w:rPr>
          <w:rFonts w:ascii="Calibri Light" w:hAnsi="Calibri Light" w:cs="Calibri Light" w:asciiTheme="majorHAnsi" w:cstheme="majorHAnsi" w:hAnsiTheme="majorHAnsi"/>
          <w:sz w:val="28"/>
          <w:szCs w:val="28"/>
        </w:rPr>
      </w:pPr>
      <w:r>
        <w:rPr>
          <w:rFonts w:cs="Calibri Light" w:cstheme="majorHAnsi" w:ascii="Calibri Light" w:hAnsi="Calibri Light"/>
          <w:sz w:val="28"/>
          <w:szCs w:val="28"/>
        </w:rPr>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Behandeling volgens afspraak. Graag medicatie, vitaminen, supplementen e.d. meenemen.</w:t>
      </w:r>
    </w:p>
    <w:p>
      <w:pPr>
        <w:pStyle w:val="Normal"/>
        <w:rPr>
          <w:rFonts w:ascii="Calibri Light" w:hAnsi="Calibri Light" w:cs="Calibri Light" w:asciiTheme="majorHAnsi" w:cstheme="majorHAnsi" w:hAnsiTheme="majorHAnsi"/>
          <w:sz w:val="28"/>
          <w:szCs w:val="28"/>
        </w:rPr>
      </w:pPr>
      <w:r>
        <w:rPr>
          <w:rFonts w:cs="Calibri Light" w:cstheme="majorHAnsi" w:ascii="Calibri Light" w:hAnsi="Calibri Light"/>
          <w:sz w:val="28"/>
          <w:szCs w:val="28"/>
        </w:rPr>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b/>
          <w:bCs/>
          <w:sz w:val="28"/>
          <w:szCs w:val="28"/>
        </w:rPr>
        <w:t>Tarieven per 01-01-2022</w:t>
      </w:r>
      <w:r>
        <w:rPr>
          <w:rFonts w:cs="Calibri Light" w:ascii="Calibri Light" w:hAnsi="Calibri Light" w:asciiTheme="majorHAnsi" w:cstheme="majorHAnsi" w:hAnsiTheme="majorHAnsi"/>
          <w:sz w:val="28"/>
          <w:szCs w:val="28"/>
        </w:rPr>
        <w:t>:</w:t>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Natuurgeneeskundig consult, inclusief intake, € 90,00</w:t>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Vervolgconsult € 75,00</w:t>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Natuurgeneeskundig consult kind (t/m 12 jaar) € 75,00</w:t>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Vervolgconsult kind € 60.00</w:t>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Levend Bloed Analyse + vrije radicalen test € 80,00 inclusief standaardadviezen.</w:t>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Persoonlijke voedingslijst € 70.00</w:t>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 xml:space="preserve">Consult op maat </w:t>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 xml:space="preserve">Voetreflexmassage € 60,00 </w:t>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Voetreflextherapie bij slaapklachten € 60,00</w:t>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Lymfedrainage via reflexologie € 60,00</w:t>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Metamorfosebehandeling € 60,00</w:t>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Bachremedie bij consult € 5,00</w:t>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Bachremedie herhaling of zonder consult € 10.00</w:t>
      </w:r>
    </w:p>
    <w:p>
      <w:pPr>
        <w:pStyle w:val="Normal"/>
        <w:rPr>
          <w:rFonts w:ascii="Calibri Light" w:hAnsi="Calibri Light" w:cs="Calibri Light" w:asciiTheme="majorHAnsi" w:cstheme="majorHAnsi" w:hAnsiTheme="majorHAnsi"/>
          <w:sz w:val="28"/>
          <w:szCs w:val="28"/>
        </w:rPr>
      </w:pPr>
      <w:r>
        <w:rPr>
          <w:rFonts w:cs="Calibri Light" w:cstheme="majorHAnsi" w:ascii="Calibri Light" w:hAnsi="Calibri Light"/>
          <w:sz w:val="28"/>
          <w:szCs w:val="28"/>
        </w:rPr>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 xml:space="preserve">Ik ben aangesloten bij de B.A.T.C. Dit betekent dat de meeste zorgverzekeraars mijn natuurgeneeskundige consulten (geheel of gedeeltelijk) vergoeden. </w:t>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Waar? Rijksweg 117</w:t>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1787 PK Julianadorp Noord Holland</w:t>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 xml:space="preserve">Tel: 06 - 55755405 </w:t>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email: yvonne@natuurgeneeskundeinbalans.nl</w:t>
      </w:r>
    </w:p>
    <w:p>
      <w:pPr>
        <w:pStyle w:val="Normal"/>
        <w:rPr>
          <w:rFonts w:ascii="Calibri Light" w:hAnsi="Calibri Light" w:cs="Calibri Light" w:asciiTheme="majorHAnsi" w:cstheme="majorHAnsi" w:hAnsiTheme="majorHAnsi"/>
          <w:sz w:val="28"/>
          <w:szCs w:val="28"/>
        </w:rPr>
      </w:pPr>
      <w:r>
        <w:rPr>
          <w:rFonts w:cs="Calibri Light" w:cstheme="majorHAnsi" w:ascii="Calibri Light" w:hAnsi="Calibri Light"/>
          <w:sz w:val="28"/>
          <w:szCs w:val="28"/>
        </w:rPr>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BATC beroepsregistratie nr. BR-0893</w:t>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AGB zorgverlenerscode 90035016</w:t>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AGB praktijkcode 90(0)13961</w:t>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Klacht en Tuchtrecht KB0905.0288</w:t>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Kamer van Koophandel 371524610000</w:t>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BTW-nr NL002091804B82</w:t>
      </w:r>
    </w:p>
    <w:p>
      <w:pPr>
        <w:pStyle w:val="Normal"/>
        <w:rPr>
          <w:rFonts w:ascii="Calibri Light" w:hAnsi="Calibri Light" w:cs="Calibri Light" w:asciiTheme="majorHAnsi" w:cstheme="majorHAnsi" w:hAnsiTheme="majorHAnsi"/>
          <w:sz w:val="28"/>
          <w:szCs w:val="28"/>
        </w:rPr>
      </w:pPr>
      <w:r>
        <w:rPr>
          <w:rFonts w:cs="Calibri Light" w:cstheme="majorHAnsi" w:ascii="Calibri Light" w:hAnsi="Calibri Light"/>
          <w:sz w:val="28"/>
          <w:szCs w:val="28"/>
        </w:rPr>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Tot slot</w:t>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Ik ben geen reguliere arts en kan en wil deze niet vervangen. Vertel je arts dat je onder behandeling bent, ook als deze de therapie niet kent, erkent of terughoudend reageert. Staak nooit een voorgeschreven behandeling van je arts zonder overleg met je arts. Neem altijd de voorgeschreven medicijnen in. Mocht je merken dat tijdens de periode van behandeling bij mij, je klachten sterk verminderen kun je de inname van medicijnen bespreken met je arts, misschien kan er wellicht verminderd of gestopt worden. Doe dit echter nooit uit jezelf!</w:t>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 xml:space="preserve">Vergoedingen zorgverzekeraars </w:t>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 xml:space="preserve">BATC is een meervoudige beroepsorganisatie die de belangen van zowel artsen als therapeuten behartigt, welke op hun vakgebied als natuurgeneeskundig therapeut meervoudige disciplines hanteren. BATC zet zich in om de consulten en behandelingen door zorgverzekeraars te laten vergoeden. </w:t>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BATC therapeuten die gekwalificeerd zijn naar Zorgverzekeraars zijn opgeleid in meervoudige natuurgeneeskundige vaardigheden. Zij voldoen aan de criteria medische basiskennis en de 5 natuurgerichte principes.</w:t>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BATC-Zorgverleners voldoen aan strenge kwaliteitscriteria voortvloeiend uit de maatschappelijke normen. Elk jaar wordt de BATC Zorgverlener opnieuw getoetst.</w:t>
      </w:r>
    </w:p>
    <w:p>
      <w:pPr>
        <w:pStyle w:val="Normal"/>
        <w:spacing w:before="0" w:after="160"/>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Informeer zelf bij jouw zorgverzekeraar of je voor vergoeding in aanmerking komt.</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Calibri Light">
    <w:charset w:val="01"/>
    <w:family w:val="swiss"/>
    <w:pitch w:val="default"/>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Verdana" w:hAnsi="Verdana"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ascii="Verdana" w:hAnsi="Verdana" w:cs="Arial"/>
    </w:rPr>
  </w:style>
  <w:style w:type="paragraph" w:styleId="Bijschrift">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lang w:val="zxx" w:eastAsia="zxx" w:bidi="zxx"/>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LibreOffice/7.3.2.2$Windows_X86_64 LibreOffice_project/49f2b1bff42cfccbd8f788c8dc32c1c309559be0</Application>
  <AppVersion>15.0000</AppVersion>
  <Pages>2</Pages>
  <Words>320</Words>
  <Characters>2086</Characters>
  <CharactersWithSpaces>2378</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2022-06-07T14:39:00Z</dcterms:created>
  <dc:creator>Yvonne Riemens-Rol</dc:creator>
  <dc:description/>
  <dc:language>nl-NL</dc:language>
  <cp:lastModifiedBy>Marcel Oosterbeek</cp:lastModifiedBy>
  <dcterms:modified xsi:type="dcterms:W3CDTF">2022-06-23T19:31:52Z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